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2DC3" w14:textId="2D4427BD" w:rsidR="003B1AE5" w:rsidRPr="003824C4" w:rsidRDefault="003B1AE5" w:rsidP="00FA7E46">
      <w:pPr>
        <w:jc w:val="center"/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noProof/>
          <w:spacing w:val="-10"/>
          <w:kern w:val="28"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88C41FB" wp14:editId="2E7CF80A">
            <wp:simplePos x="0" y="0"/>
            <wp:positionH relativeFrom="column">
              <wp:posOffset>5743575</wp:posOffset>
            </wp:positionH>
            <wp:positionV relativeFrom="paragraph">
              <wp:posOffset>0</wp:posOffset>
            </wp:positionV>
            <wp:extent cx="1076960" cy="1050925"/>
            <wp:effectExtent l="0" t="0" r="8890" b="0"/>
            <wp:wrapTight wrapText="bothSides">
              <wp:wrapPolygon edited="0">
                <wp:start x="0" y="0"/>
                <wp:lineTo x="0" y="21143"/>
                <wp:lineTo x="21396" y="21143"/>
                <wp:lineTo x="21396" y="0"/>
                <wp:lineTo x="0" y="0"/>
              </wp:wrapPolygon>
            </wp:wrapTight>
            <wp:docPr id="17238865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Four Star Public Library District</w:t>
      </w:r>
    </w:p>
    <w:p w14:paraId="657964A2" w14:textId="46164008" w:rsidR="003B1AE5" w:rsidRPr="003824C4" w:rsidRDefault="003B1AE5" w:rsidP="00FA7E46">
      <w:pPr>
        <w:jc w:val="center"/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Regular Monthly Meeting</w:t>
      </w:r>
    </w:p>
    <w:p w14:paraId="7D169009" w14:textId="4E1C4976" w:rsidR="003B1AE5" w:rsidRPr="003824C4" w:rsidRDefault="003B1AE5" w:rsidP="00FA7E46">
      <w:pPr>
        <w:jc w:val="center"/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May 13, 2026 – 7:00 PM</w:t>
      </w:r>
    </w:p>
    <w:p w14:paraId="03FF5CDE" w14:textId="77777777" w:rsidR="003B1AE5" w:rsidRPr="003824C4" w:rsidRDefault="003B1AE5" w:rsidP="00FA7E46">
      <w:pPr>
        <w:numPr>
          <w:ilvl w:val="0"/>
          <w:numId w:val="2"/>
        </w:numPr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 xml:space="preserve">Call to Order </w:t>
      </w:r>
    </w:p>
    <w:p w14:paraId="65A0ACC4" w14:textId="519609B6" w:rsidR="003B1AE5" w:rsidRPr="003824C4" w:rsidRDefault="003B1AE5" w:rsidP="00FA7E46">
      <w:pPr>
        <w:numPr>
          <w:ilvl w:val="0"/>
          <w:numId w:val="2"/>
        </w:numPr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 xml:space="preserve">Roll Call </w:t>
      </w:r>
    </w:p>
    <w:p w14:paraId="6010D303" w14:textId="77777777" w:rsidR="003B1AE5" w:rsidRPr="003824C4" w:rsidRDefault="003B1AE5" w:rsidP="00FA7E46">
      <w:pPr>
        <w:numPr>
          <w:ilvl w:val="0"/>
          <w:numId w:val="2"/>
        </w:numPr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 xml:space="preserve">Recognition of Visitors </w:t>
      </w:r>
    </w:p>
    <w:p w14:paraId="007C04F1" w14:textId="52316FA5" w:rsidR="003B1AE5" w:rsidRPr="003824C4" w:rsidRDefault="003B1AE5" w:rsidP="00FA7E4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Approval of Consent Agenda</w:t>
      </w:r>
      <w:r w:rsidRPr="003824C4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br/>
      </w:r>
      <w:r w:rsidRPr="003824C4">
        <w:rPr>
          <w:rFonts w:ascii="Arial" w:eastAsiaTheme="majorEastAsia" w:hAnsi="Arial" w:cs="Arial"/>
          <w:i/>
          <w:iCs/>
          <w:noProof/>
          <w:spacing w:val="-10"/>
          <w:kern w:val="28"/>
        </w:rPr>
        <w:t xml:space="preserve">Items listed under the consent agenda are considered routine and will be enacted by one motion. </w:t>
      </w:r>
    </w:p>
    <w:p w14:paraId="66DBDC01" w14:textId="15821C06" w:rsidR="0070316E" w:rsidRPr="003824C4" w:rsidRDefault="0070316E" w:rsidP="00382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60"/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i/>
          <w:iCs/>
          <w:noProof/>
          <w:spacing w:val="-10"/>
          <w:kern w:val="28"/>
        </w:rPr>
        <w:t>“Does anyone want to remove any items in the consent agenda? Then I’ll need a motion and a 2</w:t>
      </w:r>
      <w:r w:rsidRPr="003824C4">
        <w:rPr>
          <w:rFonts w:ascii="Arial" w:eastAsiaTheme="majorEastAsia" w:hAnsi="Arial" w:cs="Arial"/>
          <w:i/>
          <w:iCs/>
          <w:noProof/>
          <w:spacing w:val="-10"/>
          <w:kern w:val="28"/>
          <w:vertAlign w:val="superscript"/>
        </w:rPr>
        <w:t>nd</w:t>
      </w:r>
      <w:r w:rsidRPr="003824C4">
        <w:rPr>
          <w:rFonts w:ascii="Arial" w:eastAsiaTheme="majorEastAsia" w:hAnsi="Arial" w:cs="Arial"/>
          <w:i/>
          <w:iCs/>
          <w:noProof/>
          <w:spacing w:val="-10"/>
          <w:kern w:val="28"/>
        </w:rPr>
        <w:t>, as well as a roll call vote</w:t>
      </w:r>
    </w:p>
    <w:p w14:paraId="1D4A5CB2" w14:textId="77777777" w:rsidR="003B1AE5" w:rsidRPr="003824C4" w:rsidRDefault="003B1AE5" w:rsidP="00FA7E46">
      <w:pPr>
        <w:pStyle w:val="ListParagraph"/>
        <w:numPr>
          <w:ilvl w:val="1"/>
          <w:numId w:val="3"/>
        </w:numPr>
        <w:ind w:left="1170" w:firstLine="0"/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Approval of Minutes – April 15, 2026</w:t>
      </w:r>
    </w:p>
    <w:p w14:paraId="17B7F839" w14:textId="59831208" w:rsidR="003824C4" w:rsidRPr="003824C4" w:rsidRDefault="003824C4" w:rsidP="00FA7E46">
      <w:pPr>
        <w:pStyle w:val="ListParagraph"/>
        <w:numPr>
          <w:ilvl w:val="1"/>
          <w:numId w:val="3"/>
        </w:numPr>
        <w:ind w:left="1170" w:firstLine="0"/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Approval of Closed Session Minutes – September 20, 2024</w:t>
      </w:r>
    </w:p>
    <w:p w14:paraId="1AC0E912" w14:textId="77777777" w:rsidR="0070316E" w:rsidRDefault="0070316E" w:rsidP="00FA7E46">
      <w:pPr>
        <w:pStyle w:val="ListParagraph"/>
        <w:numPr>
          <w:ilvl w:val="1"/>
          <w:numId w:val="3"/>
        </w:numPr>
        <w:ind w:left="1170" w:firstLine="0"/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Payment of the Bills - $13,813.81 and $1,080 for mortgage</w:t>
      </w:r>
    </w:p>
    <w:p w14:paraId="75A0B552" w14:textId="1C280335" w:rsidR="00F90D5C" w:rsidRPr="003824C4" w:rsidRDefault="00F90D5C" w:rsidP="00FA7E46">
      <w:pPr>
        <w:pStyle w:val="ListParagraph"/>
        <w:numPr>
          <w:ilvl w:val="1"/>
          <w:numId w:val="3"/>
        </w:numPr>
        <w:ind w:left="1170" w:firstLine="0"/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 xml:space="preserve">Approval to continue to participate in IL Non-Resident Card program and set fees at </w:t>
      </w:r>
      <w:r w:rsidR="004B3597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$50/individual and $140/family</w:t>
      </w:r>
    </w:p>
    <w:p w14:paraId="7DCA4AEB" w14:textId="5B7C3AAB" w:rsidR="0070316E" w:rsidRPr="003824C4" w:rsidRDefault="0070316E" w:rsidP="00FA7E46">
      <w:pPr>
        <w:numPr>
          <w:ilvl w:val="0"/>
          <w:numId w:val="2"/>
        </w:numPr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Librarian’s Report</w:t>
      </w:r>
    </w:p>
    <w:p w14:paraId="37D768F2" w14:textId="7D31E27A" w:rsidR="0070316E" w:rsidRPr="003824C4" w:rsidRDefault="0070316E" w:rsidP="00FA7E46">
      <w:pPr>
        <w:numPr>
          <w:ilvl w:val="0"/>
          <w:numId w:val="2"/>
        </w:numPr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Report of Committees</w:t>
      </w:r>
    </w:p>
    <w:p w14:paraId="5D068CB8" w14:textId="17A925BB" w:rsidR="0070316E" w:rsidRPr="003824C4" w:rsidRDefault="0070316E" w:rsidP="00FA7E46">
      <w:pPr>
        <w:numPr>
          <w:ilvl w:val="0"/>
          <w:numId w:val="2"/>
        </w:numPr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Communications</w:t>
      </w:r>
    </w:p>
    <w:p w14:paraId="135A515F" w14:textId="56F05A49" w:rsidR="0070316E" w:rsidRPr="003824C4" w:rsidRDefault="006C2E07" w:rsidP="003824C4">
      <w:pPr>
        <w:numPr>
          <w:ilvl w:val="1"/>
          <w:numId w:val="2"/>
        </w:numPr>
        <w:ind w:hanging="270"/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Tracy Family Foundation grant – applied 5/1/26</w:t>
      </w:r>
    </w:p>
    <w:p w14:paraId="50A227F7" w14:textId="5CDF7F30" w:rsidR="006C2E07" w:rsidRPr="006C2E07" w:rsidRDefault="003B1AE5" w:rsidP="006C2E07">
      <w:pPr>
        <w:numPr>
          <w:ilvl w:val="0"/>
          <w:numId w:val="2"/>
        </w:numPr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Unfinished Business</w:t>
      </w:r>
    </w:p>
    <w:p w14:paraId="134515BD" w14:textId="09139E07" w:rsidR="004B3597" w:rsidRDefault="006C2E07" w:rsidP="003824C4">
      <w:pPr>
        <w:numPr>
          <w:ilvl w:val="1"/>
          <w:numId w:val="2"/>
        </w:numPr>
        <w:ind w:hanging="270"/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Evaluations - IP</w:t>
      </w:r>
    </w:p>
    <w:p w14:paraId="273FADED" w14:textId="37A36ACD" w:rsidR="003B1AE5" w:rsidRPr="003824C4" w:rsidRDefault="003B1AE5" w:rsidP="003824C4">
      <w:pPr>
        <w:numPr>
          <w:ilvl w:val="1"/>
          <w:numId w:val="2"/>
        </w:numPr>
        <w:ind w:hanging="270"/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 xml:space="preserve">Other </w:t>
      </w:r>
    </w:p>
    <w:p w14:paraId="783B5EC2" w14:textId="77777777" w:rsidR="0070316E" w:rsidRPr="003824C4" w:rsidRDefault="003B1AE5" w:rsidP="00FA7E46">
      <w:pPr>
        <w:numPr>
          <w:ilvl w:val="0"/>
          <w:numId w:val="2"/>
        </w:numPr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New Business</w:t>
      </w:r>
    </w:p>
    <w:p w14:paraId="5DFA6B9C" w14:textId="0DE8D803" w:rsidR="004B3597" w:rsidRDefault="006C2E07" w:rsidP="00FA7E46">
      <w:pPr>
        <w:numPr>
          <w:ilvl w:val="1"/>
          <w:numId w:val="2"/>
        </w:numP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First draft of Meeting Room Reservation Policy</w:t>
      </w:r>
    </w:p>
    <w:p w14:paraId="3BDF42C8" w14:textId="5C5FB047" w:rsidR="00FA7E46" w:rsidRPr="003824C4" w:rsidRDefault="003B1AE5" w:rsidP="00FA7E46">
      <w:pPr>
        <w:numPr>
          <w:ilvl w:val="1"/>
          <w:numId w:val="2"/>
        </w:numP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Other</w:t>
      </w:r>
    </w:p>
    <w:p w14:paraId="510018C7" w14:textId="59436201" w:rsidR="003B1AE5" w:rsidRPr="003824C4" w:rsidRDefault="003B1AE5" w:rsidP="00FA7E46">
      <w:pPr>
        <w:numPr>
          <w:ilvl w:val="1"/>
          <w:numId w:val="2"/>
        </w:numP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 xml:space="preserve">Discuss </w:t>
      </w:r>
      <w:r w:rsidR="006C2E07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ILA’s Standards for Illinois Public Libraries Programming Action Plan</w:t>
      </w:r>
    </w:p>
    <w:p w14:paraId="1A4FDC7C" w14:textId="77777777" w:rsidR="003824C4" w:rsidRDefault="003B1AE5" w:rsidP="003824C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 xml:space="preserve">Closed Session </w:t>
      </w:r>
    </w:p>
    <w:p w14:paraId="4A75A568" w14:textId="77777777" w:rsidR="003824C4" w:rsidRDefault="0070316E" w:rsidP="00382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</w:pPr>
      <w:r w:rsidRPr="003824C4">
        <w:rPr>
          <w:rFonts w:ascii="Arial" w:hAnsi="Arial" w:cs="Arial"/>
          <w:i/>
          <w:iCs/>
          <w:szCs w:val="16"/>
        </w:rPr>
        <w:t>“</w:t>
      </w:r>
      <w:r w:rsidRPr="003824C4">
        <w:rPr>
          <w:rFonts w:ascii="Arial" w:hAnsi="Arial" w:cs="Arial"/>
          <w:i/>
          <w:iCs/>
          <w:szCs w:val="16"/>
        </w:rPr>
        <w:t xml:space="preserve">The Board of Trustees will recess into closed session pursuant to the Ralph M. Brown Act (Government Code Section 54960 et seq.) for purposes of the discussing and </w:t>
      </w:r>
      <w:proofErr w:type="gramStart"/>
      <w:r w:rsidRPr="003824C4">
        <w:rPr>
          <w:rFonts w:ascii="Arial" w:hAnsi="Arial" w:cs="Arial"/>
          <w:i/>
          <w:iCs/>
          <w:szCs w:val="16"/>
        </w:rPr>
        <w:t>taking action</w:t>
      </w:r>
      <w:proofErr w:type="gramEnd"/>
      <w:r w:rsidRPr="003824C4">
        <w:rPr>
          <w:rFonts w:ascii="Arial" w:hAnsi="Arial" w:cs="Arial"/>
          <w:i/>
          <w:iCs/>
          <w:szCs w:val="16"/>
        </w:rPr>
        <w:t xml:space="preserve"> on the following </w:t>
      </w:r>
      <w:proofErr w:type="gramStart"/>
      <w:r w:rsidRPr="003824C4">
        <w:rPr>
          <w:rFonts w:ascii="Arial" w:hAnsi="Arial" w:cs="Arial"/>
          <w:i/>
          <w:iCs/>
          <w:szCs w:val="16"/>
        </w:rPr>
        <w:t>items:</w:t>
      </w:r>
      <w:r w:rsidR="00FA7E46" w:rsidRPr="003824C4">
        <w:rPr>
          <w:rFonts w:ascii="Arial" w:hAnsi="Arial" w:cs="Arial"/>
          <w:i/>
          <w:iCs/>
          <w:szCs w:val="16"/>
        </w:rPr>
        <w:t>[</w:t>
      </w:r>
      <w:proofErr w:type="gramEnd"/>
      <w:r w:rsidR="00FA7E46" w:rsidRPr="003824C4">
        <w:rPr>
          <w:rFonts w:ascii="Arial" w:hAnsi="Arial" w:cs="Arial"/>
          <w:i/>
          <w:iCs/>
          <w:szCs w:val="16"/>
        </w:rPr>
        <w:t>insert]</w:t>
      </w:r>
    </w:p>
    <w:p w14:paraId="107091C8" w14:textId="5F0B2ACB" w:rsidR="0070316E" w:rsidRPr="003824C4" w:rsidRDefault="0070316E" w:rsidP="00382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eastAsiaTheme="majorEastAsia" w:hAnsi="Arial" w:cs="Arial"/>
          <w:b/>
          <w:bCs/>
          <w:i/>
          <w:iCs/>
          <w:noProof/>
          <w:spacing w:val="-10"/>
          <w:kern w:val="28"/>
          <w:sz w:val="24"/>
          <w:szCs w:val="24"/>
        </w:rPr>
      </w:pPr>
      <w:r w:rsidRPr="003824C4">
        <w:rPr>
          <w:rFonts w:ascii="Arial" w:hAnsi="Arial" w:cs="Arial"/>
          <w:i/>
          <w:iCs/>
        </w:rPr>
        <w:t>“I move that the board hold a closed meeting to discuss pending, probable, or imminent litigation.”</w:t>
      </w:r>
    </w:p>
    <w:p w14:paraId="49956F63" w14:textId="77777777" w:rsidR="0070316E" w:rsidRPr="003824C4" w:rsidRDefault="0070316E" w:rsidP="00FA7E46">
      <w:pPr>
        <w:pStyle w:val="ListParagraph"/>
        <w:numPr>
          <w:ilvl w:val="1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3824C4">
        <w:rPr>
          <w:rFonts w:ascii="Arial" w:hAnsi="Arial" w:cs="Arial"/>
          <w:sz w:val="24"/>
          <w:szCs w:val="24"/>
        </w:rPr>
        <w:t>Roll call vote to enter Closed Session</w:t>
      </w:r>
    </w:p>
    <w:p w14:paraId="0D7303F4" w14:textId="01947AF8" w:rsidR="0070316E" w:rsidRPr="003824C4" w:rsidRDefault="006C2E07" w:rsidP="00FA7E46">
      <w:pPr>
        <w:numPr>
          <w:ilvl w:val="1"/>
          <w:numId w:val="2"/>
        </w:numP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>Vote to exit Closed Session</w:t>
      </w:r>
    </w:p>
    <w:p w14:paraId="62E96248" w14:textId="2C6E564C" w:rsidR="003B1AE5" w:rsidRPr="003824C4" w:rsidRDefault="003B1AE5" w:rsidP="00FA7E46">
      <w:pPr>
        <w:numPr>
          <w:ilvl w:val="0"/>
          <w:numId w:val="2"/>
        </w:numP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Adjournment</w:t>
      </w:r>
      <w:r w:rsidR="0070316E"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 xml:space="preserve"> </w:t>
      </w:r>
      <w:r w:rsidR="0070316E" w:rsidRPr="003824C4"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  <w:t xml:space="preserve">-  </w:t>
      </w:r>
      <w:r w:rsidR="0070316E" w:rsidRPr="003824C4">
        <w:rPr>
          <w:rFonts w:ascii="Arial" w:eastAsiaTheme="majorEastAsia" w:hAnsi="Arial" w:cs="Arial"/>
          <w:i/>
          <w:iCs/>
          <w:noProof/>
          <w:spacing w:val="-10"/>
          <w:kern w:val="28"/>
        </w:rPr>
        <w:t>“There being no other business, I delcare the meeting adjorned.”</w:t>
      </w:r>
      <w:r w:rsidRPr="003824C4">
        <w:rPr>
          <w:rFonts w:ascii="Arial" w:eastAsiaTheme="majorEastAsia" w:hAnsi="Arial" w:cs="Arial"/>
          <w:i/>
          <w:iCs/>
          <w:noProof/>
          <w:spacing w:val="-10"/>
          <w:kern w:val="28"/>
        </w:rPr>
        <w:t xml:space="preserve"> </w:t>
      </w:r>
    </w:p>
    <w:p w14:paraId="2E6C44BD" w14:textId="77777777" w:rsidR="003B1AE5" w:rsidRPr="003824C4" w:rsidRDefault="003B1AE5" w:rsidP="00FA7E46">
      <w:pPr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3824C4">
        <w:rPr>
          <w:rFonts w:ascii="Arial" w:eastAsiaTheme="majorEastAsia" w:hAnsi="Arial" w:cs="Arial"/>
          <w:b/>
          <w:bCs/>
          <w:noProof/>
          <w:spacing w:val="-10"/>
          <w:kern w:val="28"/>
          <w:sz w:val="24"/>
          <w:szCs w:val="24"/>
        </w:rPr>
        <w:t>Next Regular Meeting – June 10, 2026</w:t>
      </w:r>
    </w:p>
    <w:p w14:paraId="4C9462FF" w14:textId="77777777" w:rsidR="00AE7A07" w:rsidRPr="003824C4" w:rsidRDefault="00AE7A07" w:rsidP="00FA7E46">
      <w:pPr>
        <w:rPr>
          <w:rFonts w:ascii="Arial" w:hAnsi="Arial" w:cs="Arial"/>
          <w:sz w:val="24"/>
          <w:szCs w:val="24"/>
        </w:rPr>
      </w:pPr>
    </w:p>
    <w:sectPr w:rsidR="00AE7A07" w:rsidRPr="003824C4" w:rsidSect="003B1AE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1840" w14:textId="77777777" w:rsidR="003B1AE5" w:rsidRPr="00AD16C2" w:rsidRDefault="003B1AE5" w:rsidP="00AD16C2">
    <w:pPr>
      <w:ind w:left="2445"/>
      <w:rPr>
        <w:rFonts w:ascii="Arial" w:hAnsi="Arial" w:cs="Arial"/>
        <w:sz w:val="16"/>
        <w:szCs w:val="16"/>
      </w:rPr>
    </w:pPr>
  </w:p>
  <w:p w14:paraId="10AF1FF3" w14:textId="77777777" w:rsidR="003B1AE5" w:rsidRPr="00AD16C2" w:rsidRDefault="003B1AE5" w:rsidP="00AD16C2">
    <w:pPr>
      <w:pStyle w:val="Footer"/>
      <w:rPr>
        <w:sz w:val="16"/>
        <w:szCs w:val="16"/>
      </w:rPr>
    </w:pPr>
  </w:p>
  <w:p w14:paraId="296978CF" w14:textId="77777777" w:rsidR="003B1AE5" w:rsidRPr="00C31B82" w:rsidRDefault="003B1AE5" w:rsidP="00C31B82">
    <w:pPr>
      <w:pStyle w:val="Footer"/>
      <w:jc w:val="right"/>
      <w:rPr>
        <w:rFonts w:ascii="Arial" w:hAnsi="Arial" w:cs="Ari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0F28" w14:textId="77777777" w:rsidR="003B1AE5" w:rsidRDefault="003B1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EED"/>
    <w:multiLevelType w:val="multilevel"/>
    <w:tmpl w:val="486E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2108E"/>
    <w:multiLevelType w:val="hybridMultilevel"/>
    <w:tmpl w:val="5176B63A"/>
    <w:lvl w:ilvl="0" w:tplc="9D6830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62E95"/>
    <w:multiLevelType w:val="hybridMultilevel"/>
    <w:tmpl w:val="B2CE0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0167C"/>
    <w:multiLevelType w:val="hybridMultilevel"/>
    <w:tmpl w:val="8B14F3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1C219E"/>
    <w:multiLevelType w:val="hybridMultilevel"/>
    <w:tmpl w:val="11F06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39719">
    <w:abstractNumId w:val="4"/>
  </w:num>
  <w:num w:numId="2" w16cid:durableId="966160219">
    <w:abstractNumId w:val="0"/>
  </w:num>
  <w:num w:numId="3" w16cid:durableId="1478886172">
    <w:abstractNumId w:val="3"/>
  </w:num>
  <w:num w:numId="4" w16cid:durableId="1292663257">
    <w:abstractNumId w:val="2"/>
  </w:num>
  <w:num w:numId="5" w16cid:durableId="18791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E5"/>
    <w:rsid w:val="003824C4"/>
    <w:rsid w:val="003B1AE5"/>
    <w:rsid w:val="00416B39"/>
    <w:rsid w:val="004B3597"/>
    <w:rsid w:val="005B75C6"/>
    <w:rsid w:val="006C2E07"/>
    <w:rsid w:val="0070316E"/>
    <w:rsid w:val="00AE7A07"/>
    <w:rsid w:val="00C045ED"/>
    <w:rsid w:val="00C55140"/>
    <w:rsid w:val="00F90D5C"/>
    <w:rsid w:val="00FA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7E49"/>
  <w15:chartTrackingRefBased/>
  <w15:docId w15:val="{E8EE47E0-99C6-4621-90E0-BB5A2FA7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A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A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B1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A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A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1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A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1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A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236</Words>
  <Characters>1214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Simmons</dc:creator>
  <cp:keywords/>
  <dc:description/>
  <cp:lastModifiedBy>Valerie Simmons</cp:lastModifiedBy>
  <cp:revision>1</cp:revision>
  <cp:lastPrinted>2026-05-11T20:08:00Z</cp:lastPrinted>
  <dcterms:created xsi:type="dcterms:W3CDTF">2026-05-11T17:54:00Z</dcterms:created>
  <dcterms:modified xsi:type="dcterms:W3CDTF">2026-05-11T20:28:00Z</dcterms:modified>
</cp:coreProperties>
</file>